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440"/>
      </w:tblGrid>
      <w:tr w:rsidR="00ED2E85" w14:paraId="7B216283" w14:textId="77777777" w:rsidTr="00ED2E85">
        <w:trPr>
          <w:trHeight w:val="990"/>
        </w:trPr>
        <w:tc>
          <w:tcPr>
            <w:tcW w:w="7920" w:type="dxa"/>
            <w:tcBorders>
              <w:top w:val="nil"/>
              <w:left w:val="nil"/>
              <w:bottom w:val="threeDEngrave" w:sz="24" w:space="0" w:color="0000FF"/>
              <w:right w:val="nil"/>
            </w:tcBorders>
          </w:tcPr>
          <w:p w14:paraId="2FB65B9E" w14:textId="77777777" w:rsidR="00ED2E85" w:rsidRDefault="00ED2E85">
            <w:pPr>
              <w:suppressAutoHyphens/>
              <w:spacing w:after="120"/>
              <w:jc w:val="both"/>
              <w:rPr>
                <w:rFonts w:cs="Arial"/>
                <w:spacing w:val="-2"/>
                <w:sz w:val="24"/>
              </w:rPr>
            </w:pPr>
            <w:r>
              <w:rPr>
                <w:rFonts w:cs="Arial"/>
                <w:spacing w:val="-2"/>
                <w:sz w:val="24"/>
              </w:rPr>
              <w:t>Specification Section 34 75 13</w:t>
            </w:r>
          </w:p>
          <w:p w14:paraId="01E59977" w14:textId="77777777" w:rsidR="00ED2E85" w:rsidRDefault="00A61148" w:rsidP="00A61148">
            <w:pPr>
              <w:pStyle w:val="Footer"/>
              <w:jc w:val="center"/>
              <w:rPr>
                <w:b/>
                <w:bCs/>
                <w:color w:val="0000FF"/>
                <w:sz w:val="28"/>
              </w:rPr>
            </w:pPr>
            <w:r>
              <w:rPr>
                <w:b/>
                <w:bCs/>
                <w:color w:val="0000FF"/>
                <w:sz w:val="28"/>
              </w:rPr>
              <w:t>K-4 ENGINEERED</w:t>
            </w:r>
            <w:r w:rsidR="00ED2E85">
              <w:rPr>
                <w:b/>
                <w:bCs/>
                <w:color w:val="0000FF"/>
                <w:sz w:val="28"/>
              </w:rPr>
              <w:t xml:space="preserve"> </w:t>
            </w:r>
            <w:r>
              <w:rPr>
                <w:b/>
                <w:bCs/>
                <w:color w:val="0000FF"/>
                <w:sz w:val="28"/>
              </w:rPr>
              <w:t>HEAVY DUTY SWING</w:t>
            </w:r>
            <w:r w:rsidR="00ED2E85">
              <w:rPr>
                <w:b/>
                <w:bCs/>
                <w:color w:val="0000FF"/>
                <w:sz w:val="28"/>
              </w:rPr>
              <w:t xml:space="preserve"> GATE </w:t>
            </w:r>
          </w:p>
          <w:p w14:paraId="603D0E45" w14:textId="0A0425F7" w:rsidR="00160788" w:rsidRDefault="00160788" w:rsidP="00A61148">
            <w:pPr>
              <w:pStyle w:val="Footer"/>
              <w:jc w:val="center"/>
              <w:rPr>
                <w:b/>
                <w:bCs/>
                <w:color w:val="0000FF"/>
                <w:sz w:val="28"/>
              </w:rPr>
            </w:pPr>
          </w:p>
        </w:tc>
        <w:tc>
          <w:tcPr>
            <w:tcW w:w="1440" w:type="dxa"/>
            <w:tcBorders>
              <w:top w:val="nil"/>
              <w:left w:val="nil"/>
              <w:bottom w:val="threeDEngrave" w:sz="24" w:space="0" w:color="0000FF"/>
              <w:right w:val="nil"/>
            </w:tcBorders>
            <w:vAlign w:val="center"/>
          </w:tcPr>
          <w:p w14:paraId="21595512" w14:textId="77777777" w:rsidR="00ED2E85" w:rsidRDefault="00151E3C">
            <w:pPr>
              <w:suppressAutoHyphens/>
              <w:spacing w:after="120"/>
              <w:jc w:val="both"/>
              <w:rPr>
                <w:rFonts w:cs="Arial"/>
                <w:spacing w:val="-2"/>
                <w:sz w:val="24"/>
              </w:rPr>
            </w:pPr>
            <w:r>
              <w:rPr>
                <w:rFonts w:cs="Arial"/>
                <w:noProof/>
                <w:spacing w:val="-2"/>
                <w:sz w:val="24"/>
              </w:rPr>
              <w:drawing>
                <wp:inline distT="0" distB="0" distL="0" distR="0" wp14:anchorId="4429056F" wp14:editId="74C2419F">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4ACD26A9" w14:textId="77777777" w:rsidR="00BD4006" w:rsidRDefault="00BD4006">
      <w:pPr>
        <w:pStyle w:val="Level1"/>
        <w:rPr>
          <w:caps/>
        </w:rPr>
      </w:pPr>
      <w:r>
        <w:rPr>
          <w:caps/>
        </w:rPr>
        <w:t>GENERAL:</w:t>
      </w:r>
    </w:p>
    <w:p w14:paraId="3B5110F7" w14:textId="77777777" w:rsidR="00BD4006" w:rsidRDefault="00BD4006">
      <w:pPr>
        <w:pStyle w:val="Levels"/>
        <w:jc w:val="both"/>
      </w:pPr>
      <w:r>
        <w:t>SECTION INCLUDES:</w:t>
      </w:r>
    </w:p>
    <w:p w14:paraId="300498F7" w14:textId="77777777" w:rsidR="00BD4006" w:rsidRDefault="00BD4006">
      <w:pPr>
        <w:pStyle w:val="Levels"/>
        <w:numPr>
          <w:ilvl w:val="2"/>
          <w:numId w:val="12"/>
        </w:numPr>
        <w:jc w:val="both"/>
        <w:rPr>
          <w:b w:val="0"/>
          <w:bCs w:val="0"/>
        </w:rPr>
      </w:pPr>
      <w:r>
        <w:rPr>
          <w:b w:val="0"/>
          <w:bCs w:val="0"/>
        </w:rPr>
        <w:t>The work in this section shall include furnishing all labor, materials, equipment and appliances ne</w:t>
      </w:r>
      <w:r w:rsidR="003A4711">
        <w:rPr>
          <w:b w:val="0"/>
          <w:bCs w:val="0"/>
        </w:rPr>
        <w:t xml:space="preserve">cessary to complete all K-4 </w:t>
      </w:r>
      <w:r w:rsidR="00A61148">
        <w:rPr>
          <w:b w:val="0"/>
          <w:bCs w:val="0"/>
        </w:rPr>
        <w:t xml:space="preserve">Engineered Heavy Duty Swing Gate </w:t>
      </w:r>
      <w:r>
        <w:rPr>
          <w:b w:val="0"/>
          <w:bCs w:val="0"/>
        </w:rPr>
        <w:t>System(s) required for this project in strict accordance with this specification section and drawings.  The gate</w:t>
      </w:r>
      <w:r w:rsidR="00A61148">
        <w:rPr>
          <w:b w:val="0"/>
          <w:bCs w:val="0"/>
        </w:rPr>
        <w:t>,</w:t>
      </w:r>
      <w:r w:rsidR="004C19FA">
        <w:rPr>
          <w:b w:val="0"/>
          <w:bCs w:val="0"/>
        </w:rPr>
        <w:t xml:space="preserve"> crash beam and stanchions </w:t>
      </w:r>
      <w:r>
        <w:rPr>
          <w:b w:val="0"/>
          <w:bCs w:val="0"/>
        </w:rPr>
        <w:t>shall be specifically designed to complement each other as a system and be provided by a single manufacturer.  Components</w:t>
      </w:r>
      <w:r w:rsidR="004C19FA">
        <w:rPr>
          <w:b w:val="0"/>
          <w:bCs w:val="0"/>
        </w:rPr>
        <w:t xml:space="preserve"> (g</w:t>
      </w:r>
      <w:r w:rsidR="00A61148">
        <w:rPr>
          <w:b w:val="0"/>
          <w:bCs w:val="0"/>
        </w:rPr>
        <w:t>ate panel, stanchions,</w:t>
      </w:r>
      <w:r w:rsidR="004C19FA">
        <w:rPr>
          <w:b w:val="0"/>
          <w:bCs w:val="0"/>
        </w:rPr>
        <w:t xml:space="preserve"> etc.) from different sources</w:t>
      </w:r>
      <w:r>
        <w:rPr>
          <w:b w:val="0"/>
          <w:bCs w:val="0"/>
        </w:rPr>
        <w:t xml:space="preserve"> assembled at the job site to form a system will</w:t>
      </w:r>
      <w:r w:rsidR="004C19FA">
        <w:rPr>
          <w:b w:val="0"/>
          <w:bCs w:val="0"/>
        </w:rPr>
        <w:t xml:space="preserve"> void the</w:t>
      </w:r>
      <w:r w:rsidR="00966CDC">
        <w:rPr>
          <w:b w:val="0"/>
          <w:bCs w:val="0"/>
        </w:rPr>
        <w:t xml:space="preserve"> e</w:t>
      </w:r>
      <w:r w:rsidR="00A61148">
        <w:rPr>
          <w:b w:val="0"/>
          <w:bCs w:val="0"/>
        </w:rPr>
        <w:t>ngineered</w:t>
      </w:r>
      <w:r w:rsidR="004C19FA">
        <w:rPr>
          <w:b w:val="0"/>
          <w:bCs w:val="0"/>
        </w:rPr>
        <w:t xml:space="preserve"> rating and warranty, and</w:t>
      </w:r>
      <w:r>
        <w:rPr>
          <w:b w:val="0"/>
          <w:bCs w:val="0"/>
        </w:rPr>
        <w:t xml:space="preserve"> not be approved.</w:t>
      </w:r>
    </w:p>
    <w:p w14:paraId="3B6D0F47" w14:textId="77777777" w:rsidR="00BD4006" w:rsidRPr="00E8028E" w:rsidRDefault="00BD4006" w:rsidP="00E8028E">
      <w:pPr>
        <w:pStyle w:val="Levels"/>
        <w:jc w:val="both"/>
      </w:pPr>
      <w:r>
        <w:t>REFERENCES:</w:t>
      </w:r>
    </w:p>
    <w:p w14:paraId="61EFDE93" w14:textId="77777777" w:rsidR="00BD4006" w:rsidRDefault="00AF61D2">
      <w:pPr>
        <w:pStyle w:val="Levels"/>
        <w:numPr>
          <w:ilvl w:val="2"/>
          <w:numId w:val="12"/>
        </w:numPr>
        <w:jc w:val="both"/>
        <w:rPr>
          <w:b w:val="0"/>
          <w:bCs w:val="0"/>
        </w:rPr>
      </w:pPr>
      <w:r>
        <w:rPr>
          <w:b w:val="0"/>
          <w:bCs w:val="0"/>
        </w:rPr>
        <w:t>ASTM F</w:t>
      </w:r>
      <w:r w:rsidR="002434A0">
        <w:rPr>
          <w:b w:val="0"/>
          <w:bCs w:val="0"/>
        </w:rPr>
        <w:t xml:space="preserve"> </w:t>
      </w:r>
      <w:r>
        <w:rPr>
          <w:b w:val="0"/>
          <w:bCs w:val="0"/>
        </w:rPr>
        <w:t>2200</w:t>
      </w:r>
      <w:r w:rsidR="00BD4006">
        <w:rPr>
          <w:b w:val="0"/>
          <w:bCs w:val="0"/>
        </w:rPr>
        <w:t xml:space="preserve"> – Standard Specification for Automated Vehicular</w:t>
      </w:r>
      <w:r w:rsidR="00511D77">
        <w:rPr>
          <w:b w:val="0"/>
          <w:bCs w:val="0"/>
        </w:rPr>
        <w:t xml:space="preserve"> Gate Construction. </w:t>
      </w:r>
    </w:p>
    <w:p w14:paraId="4A3A87B1" w14:textId="77777777" w:rsidR="00314D6A" w:rsidRDefault="00BD4006">
      <w:pPr>
        <w:pStyle w:val="Levels"/>
        <w:numPr>
          <w:ilvl w:val="2"/>
          <w:numId w:val="12"/>
        </w:numPr>
        <w:jc w:val="both"/>
        <w:rPr>
          <w:b w:val="0"/>
          <w:bCs w:val="0"/>
        </w:rPr>
      </w:pPr>
      <w:r>
        <w:rPr>
          <w:b w:val="0"/>
          <w:bCs w:val="0"/>
        </w:rPr>
        <w:t>American Welding Society AWS D1.</w:t>
      </w:r>
      <w:r w:rsidR="00E8028E">
        <w:rPr>
          <w:b w:val="0"/>
          <w:bCs w:val="0"/>
        </w:rPr>
        <w:t>2 Structural Welding Code.</w:t>
      </w:r>
    </w:p>
    <w:p w14:paraId="4274666B" w14:textId="77777777" w:rsidR="00BD4006" w:rsidRPr="00314D6A" w:rsidRDefault="00314D6A" w:rsidP="00314D6A">
      <w:pPr>
        <w:pStyle w:val="Levels"/>
        <w:numPr>
          <w:ilvl w:val="2"/>
          <w:numId w:val="12"/>
        </w:numPr>
        <w:jc w:val="both"/>
        <w:rPr>
          <w:b w:val="0"/>
          <w:bCs w:val="0"/>
        </w:rPr>
      </w:pPr>
      <w:r w:rsidRPr="00314D6A">
        <w:rPr>
          <w:b w:val="0"/>
          <w:bCs w:val="0"/>
        </w:rPr>
        <w:t>ASTM A 123 Standard Specification for Zinc (Hot-Dip Galvanized) Coatings on Iron and Steel.</w:t>
      </w:r>
      <w:r w:rsidR="00E8028E" w:rsidRPr="00314D6A">
        <w:rPr>
          <w:b w:val="0"/>
          <w:bCs w:val="0"/>
        </w:rPr>
        <w:t xml:space="preserve"> </w:t>
      </w:r>
    </w:p>
    <w:p w14:paraId="0689FDE7" w14:textId="77777777" w:rsidR="003A4711" w:rsidRDefault="00BE3716" w:rsidP="003A4711">
      <w:pPr>
        <w:pStyle w:val="Levels"/>
      </w:pPr>
      <w:r>
        <w:t xml:space="preserve">ENGINEERED </w:t>
      </w:r>
      <w:r w:rsidR="003A4711">
        <w:t>CRASH RATING:</w:t>
      </w:r>
    </w:p>
    <w:p w14:paraId="76DE3106" w14:textId="77777777" w:rsidR="003A4711" w:rsidRPr="00281ABC" w:rsidRDefault="00E8028E" w:rsidP="003A4711">
      <w:pPr>
        <w:pStyle w:val="Levels"/>
        <w:numPr>
          <w:ilvl w:val="2"/>
          <w:numId w:val="12"/>
        </w:numPr>
        <w:jc w:val="both"/>
        <w:rPr>
          <w:b w:val="0"/>
          <w:bCs w:val="0"/>
        </w:rPr>
      </w:pPr>
      <w:r>
        <w:rPr>
          <w:b w:val="0"/>
          <w:bCs w:val="0"/>
        </w:rPr>
        <w:t>The K-4 Crash Engineered Heavy Duty Swing Gate System is engineered to meet ASTM F 2656 07 M30 (equivalent to DOS K-4) in which impact conditions are:</w:t>
      </w:r>
    </w:p>
    <w:p w14:paraId="450BB687" w14:textId="77777777" w:rsidR="003A4711" w:rsidRPr="00281ABC" w:rsidRDefault="003A4711" w:rsidP="003A4711">
      <w:pPr>
        <w:pStyle w:val="Levels"/>
        <w:numPr>
          <w:ilvl w:val="3"/>
          <w:numId w:val="12"/>
        </w:numPr>
        <w:jc w:val="both"/>
        <w:rPr>
          <w:b w:val="0"/>
          <w:bCs w:val="0"/>
        </w:rPr>
      </w:pPr>
      <w:r w:rsidRPr="00281ABC">
        <w:rPr>
          <w:b w:val="0"/>
          <w:bCs w:val="0"/>
        </w:rPr>
        <w:t>Crash Rating</w:t>
      </w:r>
      <w:r>
        <w:rPr>
          <w:b w:val="0"/>
          <w:bCs w:val="0"/>
        </w:rPr>
        <w:t>: M30</w:t>
      </w:r>
      <w:r w:rsidR="00033EB8">
        <w:rPr>
          <w:b w:val="0"/>
          <w:bCs w:val="0"/>
        </w:rPr>
        <w:t>-P1</w:t>
      </w:r>
      <w:r w:rsidRPr="00281ABC">
        <w:rPr>
          <w:b w:val="0"/>
          <w:bCs w:val="0"/>
        </w:rPr>
        <w:tab/>
      </w:r>
      <w:r w:rsidRPr="00281ABC">
        <w:rPr>
          <w:b w:val="0"/>
          <w:bCs w:val="0"/>
        </w:rPr>
        <w:tab/>
      </w:r>
      <w:r w:rsidRPr="00281ABC">
        <w:rPr>
          <w:b w:val="0"/>
          <w:bCs w:val="0"/>
        </w:rPr>
        <w:tab/>
      </w:r>
    </w:p>
    <w:p w14:paraId="6D6642EA" w14:textId="77777777" w:rsidR="003A4711" w:rsidRDefault="003A4711" w:rsidP="003A4711">
      <w:pPr>
        <w:pStyle w:val="Levels"/>
        <w:numPr>
          <w:ilvl w:val="3"/>
          <w:numId w:val="12"/>
        </w:numPr>
        <w:jc w:val="both"/>
        <w:rPr>
          <w:b w:val="0"/>
          <w:bCs w:val="0"/>
        </w:rPr>
      </w:pPr>
      <w:r>
        <w:rPr>
          <w:b w:val="0"/>
          <w:bCs w:val="0"/>
        </w:rPr>
        <w:t xml:space="preserve">Vehicle Weight: 15,000 </w:t>
      </w:r>
      <w:proofErr w:type="spellStart"/>
      <w:r>
        <w:rPr>
          <w:b w:val="0"/>
          <w:bCs w:val="0"/>
        </w:rPr>
        <w:t>lbs</w:t>
      </w:r>
      <w:proofErr w:type="spellEnd"/>
    </w:p>
    <w:p w14:paraId="0721FE1A" w14:textId="77777777" w:rsidR="003A4711" w:rsidRPr="00281ABC" w:rsidRDefault="003A4711" w:rsidP="003A4711">
      <w:pPr>
        <w:pStyle w:val="Levels"/>
        <w:numPr>
          <w:ilvl w:val="3"/>
          <w:numId w:val="12"/>
        </w:numPr>
        <w:jc w:val="both"/>
        <w:rPr>
          <w:b w:val="0"/>
          <w:bCs w:val="0"/>
        </w:rPr>
      </w:pPr>
      <w:r>
        <w:rPr>
          <w:b w:val="0"/>
          <w:bCs w:val="0"/>
        </w:rPr>
        <w:t>Impact Speed: 30 MPH</w:t>
      </w:r>
      <w:r w:rsidRPr="00281ABC">
        <w:rPr>
          <w:b w:val="0"/>
          <w:bCs w:val="0"/>
        </w:rPr>
        <w:tab/>
      </w:r>
      <w:r w:rsidRPr="00281ABC">
        <w:rPr>
          <w:b w:val="0"/>
          <w:bCs w:val="0"/>
        </w:rPr>
        <w:tab/>
      </w:r>
      <w:r w:rsidRPr="00281ABC">
        <w:rPr>
          <w:b w:val="0"/>
          <w:bCs w:val="0"/>
        </w:rPr>
        <w:tab/>
      </w:r>
      <w:r w:rsidRPr="00281ABC">
        <w:rPr>
          <w:b w:val="0"/>
          <w:bCs w:val="0"/>
        </w:rPr>
        <w:tab/>
      </w:r>
      <w:r w:rsidRPr="00281ABC">
        <w:rPr>
          <w:b w:val="0"/>
          <w:bCs w:val="0"/>
        </w:rPr>
        <w:tab/>
      </w:r>
    </w:p>
    <w:p w14:paraId="3E1DDEEC" w14:textId="77777777" w:rsidR="003A4711" w:rsidRDefault="003A4711" w:rsidP="003A4711">
      <w:pPr>
        <w:pStyle w:val="Levels"/>
        <w:numPr>
          <w:ilvl w:val="2"/>
          <w:numId w:val="12"/>
        </w:numPr>
        <w:jc w:val="both"/>
        <w:rPr>
          <w:b w:val="0"/>
          <w:bCs w:val="0"/>
        </w:rPr>
      </w:pPr>
      <w:r>
        <w:rPr>
          <w:b w:val="0"/>
          <w:bCs w:val="0"/>
        </w:rPr>
        <w:t>The K-4</w:t>
      </w:r>
      <w:r w:rsidRPr="00185905">
        <w:rPr>
          <w:b w:val="0"/>
          <w:bCs w:val="0"/>
        </w:rPr>
        <w:t xml:space="preserve"> </w:t>
      </w:r>
      <w:r>
        <w:rPr>
          <w:b w:val="0"/>
          <w:bCs w:val="0"/>
        </w:rPr>
        <w:t xml:space="preserve">Crash </w:t>
      </w:r>
      <w:r w:rsidR="00954B68">
        <w:rPr>
          <w:b w:val="0"/>
          <w:bCs w:val="0"/>
        </w:rPr>
        <w:t xml:space="preserve">Engineered Swing Gate System </w:t>
      </w:r>
      <w:r w:rsidRPr="00185905">
        <w:rPr>
          <w:b w:val="0"/>
          <w:bCs w:val="0"/>
        </w:rPr>
        <w:t xml:space="preserve">MUST be installed per manufacturer’s specifications and designs.  Failure to comply with all installation requirements will void the </w:t>
      </w:r>
      <w:r w:rsidR="00954B68">
        <w:rPr>
          <w:b w:val="0"/>
          <w:bCs w:val="0"/>
        </w:rPr>
        <w:t>engineered crash rating and w</w:t>
      </w:r>
      <w:r w:rsidRPr="00185905">
        <w:rPr>
          <w:b w:val="0"/>
          <w:bCs w:val="0"/>
        </w:rPr>
        <w:t>arranty.</w:t>
      </w:r>
    </w:p>
    <w:p w14:paraId="1AFDD569" w14:textId="77777777" w:rsidR="003A4711" w:rsidRPr="003A4711" w:rsidRDefault="003A4711" w:rsidP="003A4711">
      <w:pPr>
        <w:pStyle w:val="Levels"/>
        <w:numPr>
          <w:ilvl w:val="2"/>
          <w:numId w:val="12"/>
        </w:numPr>
        <w:jc w:val="both"/>
        <w:rPr>
          <w:b w:val="0"/>
          <w:bCs w:val="0"/>
        </w:rPr>
      </w:pPr>
      <w:r w:rsidRPr="003A4711">
        <w:rPr>
          <w:b w:val="0"/>
          <w:bCs w:val="0"/>
        </w:rPr>
        <w:t>Manufacturer shall be a company specializing in the supply of security vehicle barriers.</w:t>
      </w:r>
    </w:p>
    <w:p w14:paraId="16F0D02C" w14:textId="77777777" w:rsidR="00BD4006" w:rsidRDefault="00BD4006">
      <w:pPr>
        <w:pStyle w:val="Levels"/>
        <w:jc w:val="both"/>
      </w:pPr>
      <w:r>
        <w:t>SUBMITTAL:</w:t>
      </w:r>
    </w:p>
    <w:p w14:paraId="2F6EF636" w14:textId="77777777" w:rsidR="00BD4006" w:rsidRDefault="00BD4006">
      <w:pPr>
        <w:pStyle w:val="Levels"/>
        <w:numPr>
          <w:ilvl w:val="2"/>
          <w:numId w:val="12"/>
        </w:numPr>
        <w:jc w:val="both"/>
        <w:rPr>
          <w:b w:val="0"/>
        </w:rPr>
      </w:pPr>
      <w:r>
        <w:rPr>
          <w:b w:val="0"/>
        </w:rPr>
        <w:t>Product Data:</w:t>
      </w:r>
    </w:p>
    <w:p w14:paraId="4EE8415E" w14:textId="77777777" w:rsidR="00BD4006" w:rsidRDefault="00BD4006">
      <w:pPr>
        <w:pStyle w:val="Levels"/>
        <w:numPr>
          <w:ilvl w:val="3"/>
          <w:numId w:val="12"/>
        </w:numPr>
        <w:jc w:val="both"/>
        <w:rPr>
          <w:b w:val="0"/>
          <w:bCs w:val="0"/>
        </w:rPr>
      </w:pPr>
      <w:r>
        <w:rPr>
          <w:b w:val="0"/>
          <w:bCs w:val="0"/>
        </w:rPr>
        <w:t>Provide manufacturer’s catalog cuts with printed specifications and installation instructions.</w:t>
      </w:r>
    </w:p>
    <w:p w14:paraId="3F20A57D" w14:textId="77777777" w:rsidR="00BD4006" w:rsidRDefault="00BD4006">
      <w:pPr>
        <w:pStyle w:val="Levels"/>
        <w:numPr>
          <w:ilvl w:val="2"/>
          <w:numId w:val="12"/>
        </w:numPr>
        <w:jc w:val="both"/>
        <w:rPr>
          <w:b w:val="0"/>
        </w:rPr>
      </w:pPr>
      <w:r>
        <w:rPr>
          <w:b w:val="0"/>
        </w:rPr>
        <w:t>Shop Drawings:</w:t>
      </w:r>
    </w:p>
    <w:p w14:paraId="62798D4A" w14:textId="77777777" w:rsidR="00BE3716" w:rsidRDefault="00BE3716" w:rsidP="00BE3716">
      <w:pPr>
        <w:pStyle w:val="Levels"/>
        <w:numPr>
          <w:ilvl w:val="3"/>
          <w:numId w:val="12"/>
        </w:numPr>
        <w:tabs>
          <w:tab w:val="num" w:pos="1557"/>
        </w:tabs>
        <w:spacing w:before="120" w:after="0"/>
        <w:jc w:val="both"/>
        <w:rPr>
          <w:b w:val="0"/>
          <w:bCs w:val="0"/>
        </w:rPr>
      </w:pPr>
      <w:r>
        <w:rPr>
          <w:b w:val="0"/>
          <w:bCs w:val="0"/>
        </w:rPr>
        <w:t xml:space="preserve">Supply shop drawings showing the gate system, including details of all major components to be provided. </w:t>
      </w:r>
    </w:p>
    <w:p w14:paraId="6C2E4AC3" w14:textId="77777777" w:rsidR="00BD4006" w:rsidRDefault="00BD4006">
      <w:pPr>
        <w:pStyle w:val="Levels"/>
        <w:numPr>
          <w:ilvl w:val="3"/>
          <w:numId w:val="12"/>
        </w:numPr>
        <w:jc w:val="both"/>
        <w:rPr>
          <w:b w:val="0"/>
          <w:bCs w:val="0"/>
        </w:rPr>
      </w:pPr>
      <w:r>
        <w:rPr>
          <w:b w:val="0"/>
          <w:bCs w:val="0"/>
        </w:rPr>
        <w:t>Include complete details of</w:t>
      </w:r>
      <w:r w:rsidR="00C07276">
        <w:rPr>
          <w:b w:val="0"/>
          <w:bCs w:val="0"/>
        </w:rPr>
        <w:t xml:space="preserve"> gate construction, gate height and</w:t>
      </w:r>
      <w:r>
        <w:rPr>
          <w:b w:val="0"/>
          <w:bCs w:val="0"/>
        </w:rPr>
        <w:t xml:space="preserve"> post spacing dimensions</w:t>
      </w:r>
      <w:r w:rsidR="00D11608">
        <w:rPr>
          <w:b w:val="0"/>
          <w:bCs w:val="0"/>
        </w:rPr>
        <w:t>.</w:t>
      </w:r>
    </w:p>
    <w:p w14:paraId="46F716D9" w14:textId="77777777" w:rsidR="009E592B" w:rsidRDefault="00BD4006" w:rsidP="009E592B">
      <w:pPr>
        <w:pStyle w:val="Levels"/>
        <w:numPr>
          <w:ilvl w:val="2"/>
          <w:numId w:val="12"/>
        </w:numPr>
        <w:jc w:val="both"/>
        <w:rPr>
          <w:b w:val="0"/>
        </w:rPr>
      </w:pPr>
      <w:r>
        <w:rPr>
          <w:b w:val="0"/>
        </w:rPr>
        <w:t>Certifications:</w:t>
      </w:r>
    </w:p>
    <w:p w14:paraId="10344DFD" w14:textId="77777777" w:rsidR="009E592B" w:rsidRDefault="009E592B" w:rsidP="00C07276">
      <w:pPr>
        <w:pStyle w:val="Levels"/>
        <w:numPr>
          <w:ilvl w:val="3"/>
          <w:numId w:val="12"/>
        </w:numPr>
        <w:spacing w:before="120" w:after="0"/>
        <w:jc w:val="both"/>
        <w:rPr>
          <w:b w:val="0"/>
          <w:bCs w:val="0"/>
        </w:rPr>
      </w:pPr>
      <w:r>
        <w:rPr>
          <w:b w:val="0"/>
          <w:bCs w:val="0"/>
        </w:rPr>
        <w:lastRenderedPageBreak/>
        <w:t xml:space="preserve">Letter of compliance stating the K-4 vehicle barrier system </w:t>
      </w:r>
      <w:r w:rsidR="00BE3716">
        <w:rPr>
          <w:b w:val="0"/>
          <w:bCs w:val="0"/>
        </w:rPr>
        <w:t>complies with Section 1.03 (Engineered Crash Rating)</w:t>
      </w:r>
      <w:r w:rsidR="000E2E4B">
        <w:rPr>
          <w:b w:val="0"/>
          <w:bCs w:val="0"/>
        </w:rPr>
        <w:t>.</w:t>
      </w:r>
    </w:p>
    <w:p w14:paraId="41A09D81" w14:textId="77777777" w:rsidR="00C07276" w:rsidRPr="00C07276" w:rsidRDefault="005A24D3" w:rsidP="00C07276">
      <w:pPr>
        <w:pStyle w:val="Levels"/>
        <w:numPr>
          <w:ilvl w:val="3"/>
          <w:numId w:val="12"/>
        </w:numPr>
        <w:spacing w:before="120" w:after="0"/>
        <w:jc w:val="both"/>
        <w:rPr>
          <w:b w:val="0"/>
          <w:bCs w:val="0"/>
        </w:rPr>
      </w:pPr>
      <w:r>
        <w:rPr>
          <w:b w:val="0"/>
          <w:bCs w:val="0"/>
        </w:rPr>
        <w:t>Gate manufacturer shall provide independent certification as to the use of a documented Welding Procedure Specification and Procedure Qualification Record to insure conformance to the AWS D1.2 welding code.  Upon request, Individual Certificates of Welder Qualification documenting successful completion of the requirements of the AWS D1.2 code shall also be provided</w:t>
      </w:r>
    </w:p>
    <w:p w14:paraId="49C7395A" w14:textId="77777777" w:rsidR="00BD4006" w:rsidRDefault="00BD4006">
      <w:pPr>
        <w:pStyle w:val="Level1"/>
        <w:keepNext/>
        <w:spacing w:after="60"/>
      </w:pPr>
      <w:r>
        <w:t>PRODUCTS:</w:t>
      </w:r>
    </w:p>
    <w:p w14:paraId="7AF00337" w14:textId="77777777" w:rsidR="003A4711" w:rsidRDefault="003A4711">
      <w:pPr>
        <w:pStyle w:val="Levels"/>
        <w:keepNext/>
        <w:jc w:val="both"/>
        <w:rPr>
          <w:caps/>
        </w:rPr>
      </w:pPr>
      <w:r w:rsidRPr="003A4711">
        <w:rPr>
          <w:caps/>
        </w:rPr>
        <w:t xml:space="preserve">K-4 CRASH </w:t>
      </w:r>
      <w:r w:rsidR="007164EF">
        <w:rPr>
          <w:caps/>
        </w:rPr>
        <w:t>ENGINEERED HEAVY DUTY SWING GATE</w:t>
      </w:r>
      <w:r w:rsidR="001801CA">
        <w:rPr>
          <w:caps/>
        </w:rPr>
        <w:t xml:space="preserve"> </w:t>
      </w:r>
      <w:r w:rsidR="007164EF">
        <w:rPr>
          <w:caps/>
        </w:rPr>
        <w:t xml:space="preserve">SYSTEM </w:t>
      </w:r>
      <w:r>
        <w:rPr>
          <w:caps/>
        </w:rPr>
        <w:t>manufacturers:</w:t>
      </w:r>
    </w:p>
    <w:p w14:paraId="64B846CB" w14:textId="77777777" w:rsidR="00BD4006" w:rsidRDefault="00BD4006">
      <w:pPr>
        <w:pStyle w:val="Levels"/>
        <w:numPr>
          <w:ilvl w:val="2"/>
          <w:numId w:val="12"/>
        </w:numPr>
        <w:jc w:val="both"/>
        <w:rPr>
          <w:b w:val="0"/>
          <w:bCs w:val="0"/>
        </w:rPr>
      </w:pPr>
      <w:r>
        <w:rPr>
          <w:b w:val="0"/>
          <w:bCs w:val="0"/>
        </w:rPr>
        <w:t xml:space="preserve">The cantilever sliding gate system shall be manufactured by Tymetal Corp., </w:t>
      </w:r>
      <w:r w:rsidR="00C06BDE">
        <w:rPr>
          <w:b w:val="0"/>
          <w:bCs w:val="0"/>
        </w:rPr>
        <w:t>678 Wilbur Avenue</w:t>
      </w:r>
      <w:r>
        <w:rPr>
          <w:b w:val="0"/>
          <w:bCs w:val="0"/>
        </w:rPr>
        <w:t xml:space="preserve">, Greenwich, NY  12834  </w:t>
      </w:r>
      <w:r>
        <w:rPr>
          <w:b w:val="0"/>
          <w:bCs w:val="0"/>
        </w:rPr>
        <w:noBreakHyphen/>
        <w:t xml:space="preserve">  (800) 328 </w:t>
      </w:r>
      <w:r>
        <w:rPr>
          <w:b w:val="0"/>
          <w:bCs w:val="0"/>
        </w:rPr>
        <w:noBreakHyphen/>
        <w:t xml:space="preserve"> 4283.</w:t>
      </w:r>
    </w:p>
    <w:p w14:paraId="0C80D6A8" w14:textId="77777777" w:rsidR="00E34AFA" w:rsidRDefault="00E34AFA" w:rsidP="00E34AFA">
      <w:pPr>
        <w:pStyle w:val="Levels"/>
        <w:numPr>
          <w:ilvl w:val="2"/>
          <w:numId w:val="12"/>
        </w:numPr>
        <w:jc w:val="both"/>
        <w:rPr>
          <w:b w:val="0"/>
          <w:bCs w:val="0"/>
        </w:rPr>
      </w:pPr>
      <w:r>
        <w:rPr>
          <w:b w:val="0"/>
          <w:bCs w:val="0"/>
        </w:rPr>
        <w:t>Gate system m</w:t>
      </w:r>
      <w:r w:rsidRPr="00642D6F">
        <w:rPr>
          <w:b w:val="0"/>
          <w:bCs w:val="0"/>
        </w:rPr>
        <w:t>anufacturer shall be a company specializing in the supply of security vehicle barriers.</w:t>
      </w:r>
    </w:p>
    <w:p w14:paraId="45B796A4" w14:textId="77777777" w:rsidR="00E34AFA" w:rsidRDefault="00E34AFA" w:rsidP="00E34AFA">
      <w:pPr>
        <w:pStyle w:val="Levels"/>
        <w:numPr>
          <w:ilvl w:val="2"/>
          <w:numId w:val="12"/>
        </w:numPr>
        <w:jc w:val="both"/>
        <w:rPr>
          <w:b w:val="0"/>
          <w:bCs w:val="0"/>
        </w:rPr>
      </w:pPr>
      <w:r w:rsidRPr="007E3F39">
        <w:rPr>
          <w:b w:val="0"/>
          <w:bCs w:val="0"/>
        </w:rPr>
        <w:t>Gate system manufacturer shall have a minimum of $25 million in liability insurance.</w:t>
      </w:r>
    </w:p>
    <w:p w14:paraId="2F1AE07B" w14:textId="77777777" w:rsidR="00FB2CFA" w:rsidRPr="00FB2CFA" w:rsidRDefault="001801CA" w:rsidP="00FB2CFA">
      <w:pPr>
        <w:pStyle w:val="Levels"/>
        <w:jc w:val="both"/>
        <w:rPr>
          <w:b w:val="0"/>
        </w:rPr>
      </w:pPr>
      <w:r w:rsidRPr="003A4711">
        <w:rPr>
          <w:caps/>
        </w:rPr>
        <w:t xml:space="preserve">K-4 CRASH </w:t>
      </w:r>
      <w:r>
        <w:rPr>
          <w:caps/>
        </w:rPr>
        <w:t>ENGINEERED HEAVY DUTY SWING GATE</w:t>
      </w:r>
      <w:r w:rsidR="00BD4006">
        <w:t>:</w:t>
      </w:r>
    </w:p>
    <w:p w14:paraId="35228C6D" w14:textId="77777777" w:rsidR="001801CA" w:rsidRDefault="001801CA" w:rsidP="001801CA">
      <w:pPr>
        <w:pStyle w:val="Levels"/>
        <w:numPr>
          <w:ilvl w:val="2"/>
          <w:numId w:val="12"/>
        </w:numPr>
        <w:rPr>
          <w:b w:val="0"/>
          <w:bCs w:val="0"/>
        </w:rPr>
      </w:pPr>
      <w:r>
        <w:rPr>
          <w:b w:val="0"/>
          <w:bCs w:val="0"/>
        </w:rPr>
        <w:t>Gate Frame:</w:t>
      </w:r>
    </w:p>
    <w:p w14:paraId="0971FEDA" w14:textId="77777777" w:rsidR="001801CA" w:rsidRDefault="001801CA" w:rsidP="001801CA">
      <w:pPr>
        <w:pStyle w:val="Levels"/>
        <w:numPr>
          <w:ilvl w:val="3"/>
          <w:numId w:val="12"/>
        </w:numPr>
        <w:jc w:val="both"/>
        <w:rPr>
          <w:b w:val="0"/>
          <w:bCs w:val="0"/>
        </w:rPr>
      </w:pPr>
      <w:r>
        <w:rPr>
          <w:b w:val="0"/>
          <w:bCs w:val="0"/>
        </w:rPr>
        <w:t xml:space="preserve">The gate frame shall be fabricated from 6063-T6 aluminum alloy extrusions.  The top member shall be a 3" x 5" (76mm x 127mm) aluminum structural channel/tube extrusion weighing not less than 3.0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(4.4kg/m).    The bottom member shall be a 2” x 5" (51mm x 127mm) aluminum structural tube weighing not less than 2.0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(2.9kg/m). </w:t>
      </w:r>
    </w:p>
    <w:p w14:paraId="754AAF15" w14:textId="77777777" w:rsidR="00463C2D" w:rsidRDefault="00463C2D" w:rsidP="001801CA">
      <w:pPr>
        <w:pStyle w:val="Levels"/>
        <w:numPr>
          <w:ilvl w:val="3"/>
          <w:numId w:val="12"/>
        </w:numPr>
        <w:jc w:val="both"/>
        <w:rPr>
          <w:b w:val="0"/>
          <w:bCs w:val="0"/>
        </w:rPr>
      </w:pPr>
      <w:r>
        <w:rPr>
          <w:b w:val="0"/>
          <w:bCs w:val="0"/>
        </w:rPr>
        <w:t>Aluminum bar ¼” x 2” shall be welded to top and bottom horizontal members to facilitate the attachment of infill material per detailed drawing.</w:t>
      </w:r>
    </w:p>
    <w:p w14:paraId="4D2BBA2E" w14:textId="77777777" w:rsidR="001801CA" w:rsidRDefault="001801CA" w:rsidP="001801CA">
      <w:pPr>
        <w:pStyle w:val="Levels"/>
        <w:numPr>
          <w:ilvl w:val="3"/>
          <w:numId w:val="12"/>
        </w:numPr>
        <w:jc w:val="both"/>
        <w:rPr>
          <w:b w:val="0"/>
          <w:bCs w:val="0"/>
        </w:rPr>
      </w:pPr>
      <w:r>
        <w:rPr>
          <w:b w:val="0"/>
          <w:bCs w:val="0"/>
        </w:rPr>
        <w:t>Vertical Members:</w:t>
      </w:r>
    </w:p>
    <w:p w14:paraId="219252CD" w14:textId="77777777" w:rsidR="001801CA" w:rsidRDefault="001801CA" w:rsidP="001801CA">
      <w:pPr>
        <w:pStyle w:val="Levels"/>
        <w:numPr>
          <w:ilvl w:val="4"/>
          <w:numId w:val="12"/>
        </w:numPr>
        <w:jc w:val="both"/>
        <w:rPr>
          <w:b w:val="0"/>
          <w:bCs w:val="0"/>
        </w:rPr>
      </w:pPr>
      <w:r>
        <w:rPr>
          <w:b w:val="0"/>
          <w:bCs w:val="0"/>
        </w:rPr>
        <w:t xml:space="preserve">The vertical members at the ends of the opening portion of the frame shall be "P" shaped in cross section with a nominal base dimension of no less than 2” x 2” (51mm x 51mm) and weighing not less than 1.6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(2.3kg/m).  The intermediate vertical members shall alternate between 2” x 2” (51mm x 51mm) and 1” x 2” (25mm x 51mm) in cross section weighing not less than 1.1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(1.6kg/m) and 0.82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(1.2kg/m) respectively.  The spacing for the vertical intermediates shall be less than 50% of the gate frame height.</w:t>
      </w:r>
    </w:p>
    <w:p w14:paraId="057F3F05" w14:textId="77777777" w:rsidR="001801CA" w:rsidRDefault="001801CA" w:rsidP="001801CA">
      <w:pPr>
        <w:pStyle w:val="Levels"/>
        <w:numPr>
          <w:ilvl w:val="3"/>
          <w:numId w:val="12"/>
        </w:numPr>
        <w:jc w:val="both"/>
        <w:rPr>
          <w:b w:val="0"/>
          <w:bCs w:val="0"/>
        </w:rPr>
      </w:pPr>
      <w:r>
        <w:rPr>
          <w:b w:val="0"/>
          <w:bCs w:val="0"/>
        </w:rPr>
        <w:t>All welds on the gate frame shall conform to Welding Procedure Specification and Procedure Qualification Record to insure conformance to the AWS D1.2 Structural Welding Code.  All individual welders shall be certified to AWS D</w:t>
      </w:r>
      <w:r w:rsidR="00891621">
        <w:rPr>
          <w:b w:val="0"/>
          <w:bCs w:val="0"/>
        </w:rPr>
        <w:t xml:space="preserve">1.2 welding code.  </w:t>
      </w:r>
    </w:p>
    <w:p w14:paraId="7DA14D4C" w14:textId="77777777" w:rsidR="001801CA" w:rsidRDefault="001801CA" w:rsidP="001801CA">
      <w:pPr>
        <w:pStyle w:val="Levels"/>
        <w:numPr>
          <w:ilvl w:val="3"/>
          <w:numId w:val="12"/>
        </w:numPr>
        <w:jc w:val="both"/>
        <w:rPr>
          <w:b w:val="0"/>
          <w:bCs w:val="0"/>
        </w:rPr>
      </w:pPr>
      <w:r>
        <w:rPr>
          <w:b w:val="0"/>
          <w:bCs w:val="0"/>
        </w:rPr>
        <w:t>Each gate leaf shall be provided with a minimum of two pivoting hinges to allow proper operation, and shall be connected to the gate side of the hinge by means of two through-bolts.</w:t>
      </w:r>
    </w:p>
    <w:p w14:paraId="301F5C70" w14:textId="77777777" w:rsidR="001801CA" w:rsidRDefault="001801CA" w:rsidP="001801CA">
      <w:pPr>
        <w:pStyle w:val="Levels"/>
        <w:numPr>
          <w:ilvl w:val="2"/>
          <w:numId w:val="12"/>
        </w:numPr>
        <w:rPr>
          <w:b w:val="0"/>
          <w:bCs w:val="0"/>
        </w:rPr>
      </w:pPr>
      <w:r>
        <w:rPr>
          <w:b w:val="0"/>
          <w:bCs w:val="0"/>
        </w:rPr>
        <w:t>Diagonal Bracing:</w:t>
      </w:r>
    </w:p>
    <w:p w14:paraId="3E2A0A08" w14:textId="77777777" w:rsidR="001801CA" w:rsidRDefault="001801CA" w:rsidP="001801CA">
      <w:pPr>
        <w:pStyle w:val="Levels"/>
        <w:numPr>
          <w:ilvl w:val="3"/>
          <w:numId w:val="12"/>
        </w:numPr>
        <w:jc w:val="both"/>
        <w:rPr>
          <w:b w:val="0"/>
          <w:bCs w:val="0"/>
        </w:rPr>
      </w:pPr>
      <w:r>
        <w:rPr>
          <w:b w:val="0"/>
          <w:bCs w:val="0"/>
        </w:rPr>
        <w:t>Diagonal "X" bracing of 3/16" or 1/4” diameter stainless or galvanized steel cable shall be installed throughout the gate to provide additional vertical adjustment.</w:t>
      </w:r>
    </w:p>
    <w:p w14:paraId="6DCFAA79" w14:textId="77777777" w:rsidR="00891621" w:rsidRDefault="00163994" w:rsidP="00891621">
      <w:pPr>
        <w:pStyle w:val="Levels"/>
        <w:numPr>
          <w:ilvl w:val="2"/>
          <w:numId w:val="12"/>
        </w:numPr>
        <w:rPr>
          <w:b w:val="0"/>
          <w:bCs w:val="0"/>
        </w:rPr>
      </w:pPr>
      <w:r>
        <w:rPr>
          <w:b w:val="0"/>
          <w:bCs w:val="0"/>
        </w:rPr>
        <w:t xml:space="preserve">Engineered </w:t>
      </w:r>
      <w:r w:rsidR="00891621">
        <w:rPr>
          <w:b w:val="0"/>
          <w:bCs w:val="0"/>
        </w:rPr>
        <w:t>Crash Beam and Stanchions:</w:t>
      </w:r>
    </w:p>
    <w:p w14:paraId="52CBCE6E" w14:textId="77777777" w:rsidR="00215945" w:rsidRDefault="00215945" w:rsidP="00215945">
      <w:pPr>
        <w:pStyle w:val="Levels"/>
        <w:numPr>
          <w:ilvl w:val="3"/>
          <w:numId w:val="12"/>
        </w:numPr>
        <w:jc w:val="both"/>
        <w:rPr>
          <w:b w:val="0"/>
          <w:bCs w:val="0"/>
        </w:rPr>
      </w:pPr>
      <w:r>
        <w:rPr>
          <w:b w:val="0"/>
          <w:bCs w:val="0"/>
        </w:rPr>
        <w:lastRenderedPageBreak/>
        <w:t>The K-4 engineered</w:t>
      </w:r>
      <w:r w:rsidRPr="00E95F97">
        <w:rPr>
          <w:b w:val="0"/>
          <w:bCs w:val="0"/>
        </w:rPr>
        <w:t xml:space="preserve"> crash beam shall be integrated into the gate panel per detailed drawing.</w:t>
      </w:r>
    </w:p>
    <w:p w14:paraId="6FBB3025" w14:textId="77777777" w:rsidR="00215945" w:rsidRDefault="00215945" w:rsidP="00215945">
      <w:pPr>
        <w:pStyle w:val="Levels"/>
        <w:numPr>
          <w:ilvl w:val="4"/>
          <w:numId w:val="12"/>
        </w:numPr>
        <w:jc w:val="both"/>
        <w:rPr>
          <w:b w:val="0"/>
          <w:bCs w:val="0"/>
        </w:rPr>
      </w:pPr>
      <w:r>
        <w:rPr>
          <w:b w:val="0"/>
          <w:bCs w:val="0"/>
        </w:rPr>
        <w:t>Crash beam finish: mill finish aluminum or color coated with polyester powder.</w:t>
      </w:r>
      <w:r w:rsidRPr="00E95F97">
        <w:rPr>
          <w:b w:val="0"/>
          <w:bCs w:val="0"/>
        </w:rPr>
        <w:t xml:space="preserve"> </w:t>
      </w:r>
    </w:p>
    <w:p w14:paraId="7B32E1A4" w14:textId="77777777" w:rsidR="00215945" w:rsidRDefault="00215945" w:rsidP="00215945">
      <w:pPr>
        <w:pStyle w:val="Levels"/>
        <w:numPr>
          <w:ilvl w:val="3"/>
          <w:numId w:val="12"/>
        </w:numPr>
        <w:jc w:val="both"/>
        <w:rPr>
          <w:b w:val="0"/>
          <w:bCs w:val="0"/>
        </w:rPr>
      </w:pPr>
      <w:r>
        <w:rPr>
          <w:b w:val="0"/>
          <w:bCs w:val="0"/>
        </w:rPr>
        <w:t>Steel stanchions 8” x 8” shall be located and embedded per detailed drawing.</w:t>
      </w:r>
    </w:p>
    <w:p w14:paraId="6A07477D" w14:textId="77777777" w:rsidR="00891621" w:rsidRDefault="00215945" w:rsidP="00163994">
      <w:pPr>
        <w:pStyle w:val="Levels"/>
        <w:numPr>
          <w:ilvl w:val="4"/>
          <w:numId w:val="12"/>
        </w:numPr>
        <w:jc w:val="both"/>
        <w:rPr>
          <w:b w:val="0"/>
          <w:bCs w:val="0"/>
        </w:rPr>
      </w:pPr>
      <w:r w:rsidRPr="00163994">
        <w:rPr>
          <w:b w:val="0"/>
          <w:bCs w:val="0"/>
        </w:rPr>
        <w:t>Steel stanchion finish: Ho</w:t>
      </w:r>
      <w:r w:rsidR="00314D6A" w:rsidRPr="00163994">
        <w:rPr>
          <w:b w:val="0"/>
          <w:bCs w:val="0"/>
        </w:rPr>
        <w:t>t dipped galvanized.</w:t>
      </w:r>
      <w:r w:rsidR="00163994" w:rsidRPr="00163994">
        <w:rPr>
          <w:b w:val="0"/>
          <w:bCs w:val="0"/>
        </w:rPr>
        <w:t xml:space="preserve">  See 1.02 C.</w:t>
      </w:r>
      <w:r w:rsidR="00314D6A" w:rsidRPr="00163994">
        <w:rPr>
          <w:b w:val="0"/>
          <w:bCs w:val="0"/>
        </w:rPr>
        <w:t xml:space="preserve"> </w:t>
      </w:r>
    </w:p>
    <w:p w14:paraId="344E6A71" w14:textId="77777777" w:rsidR="001801CA" w:rsidRDefault="001801CA" w:rsidP="001801CA">
      <w:pPr>
        <w:pStyle w:val="Levels"/>
        <w:numPr>
          <w:ilvl w:val="2"/>
          <w:numId w:val="12"/>
        </w:numPr>
        <w:rPr>
          <w:b w:val="0"/>
          <w:bCs w:val="0"/>
        </w:rPr>
      </w:pPr>
      <w:r>
        <w:rPr>
          <w:b w:val="0"/>
          <w:bCs w:val="0"/>
        </w:rPr>
        <w:t>Posts:</w:t>
      </w:r>
    </w:p>
    <w:p w14:paraId="3F563755" w14:textId="77777777" w:rsidR="00163994" w:rsidRDefault="00163994" w:rsidP="001801CA">
      <w:pPr>
        <w:pStyle w:val="Levels"/>
        <w:numPr>
          <w:ilvl w:val="3"/>
          <w:numId w:val="12"/>
        </w:numPr>
        <w:jc w:val="both"/>
        <w:rPr>
          <w:b w:val="0"/>
          <w:bCs w:val="0"/>
        </w:rPr>
      </w:pPr>
      <w:r>
        <w:rPr>
          <w:b w:val="0"/>
          <w:bCs w:val="0"/>
        </w:rPr>
        <w:t xml:space="preserve">Hot dipped galvanized steel 6” x 6” x ¼” wall (by others).  Height and depth of footing per detailed drawing. </w:t>
      </w:r>
    </w:p>
    <w:p w14:paraId="6995A040" w14:textId="77777777" w:rsidR="001801CA" w:rsidRDefault="001801CA" w:rsidP="001801CA">
      <w:pPr>
        <w:pStyle w:val="Levels"/>
        <w:numPr>
          <w:ilvl w:val="2"/>
          <w:numId w:val="12"/>
        </w:numPr>
        <w:rPr>
          <w:b w:val="0"/>
          <w:bCs w:val="0"/>
        </w:rPr>
      </w:pPr>
      <w:r>
        <w:rPr>
          <w:b w:val="0"/>
          <w:bCs w:val="0"/>
        </w:rPr>
        <w:t>Lock:</w:t>
      </w:r>
    </w:p>
    <w:p w14:paraId="2C31B86E" w14:textId="77777777" w:rsidR="001801CA" w:rsidRDefault="00D24798" w:rsidP="001801CA">
      <w:pPr>
        <w:pStyle w:val="Levels"/>
        <w:numPr>
          <w:ilvl w:val="3"/>
          <w:numId w:val="12"/>
        </w:numPr>
        <w:jc w:val="both"/>
        <w:rPr>
          <w:b w:val="0"/>
          <w:bCs w:val="0"/>
        </w:rPr>
      </w:pPr>
      <w:r>
        <w:rPr>
          <w:b w:val="0"/>
          <w:bCs w:val="0"/>
        </w:rPr>
        <w:t>G</w:t>
      </w:r>
      <w:r w:rsidR="001801CA">
        <w:rPr>
          <w:b w:val="0"/>
          <w:bCs w:val="0"/>
        </w:rPr>
        <w:t>ates shall have a latch assembly to provide a means for locking with a padlock.</w:t>
      </w:r>
    </w:p>
    <w:p w14:paraId="0A7D0D23" w14:textId="77777777" w:rsidR="001801CA" w:rsidRDefault="001801CA" w:rsidP="001801CA">
      <w:pPr>
        <w:pStyle w:val="Levels"/>
        <w:numPr>
          <w:ilvl w:val="2"/>
          <w:numId w:val="12"/>
        </w:numPr>
        <w:rPr>
          <w:b w:val="0"/>
          <w:bCs w:val="0"/>
        </w:rPr>
      </w:pPr>
      <w:r>
        <w:rPr>
          <w:b w:val="0"/>
          <w:bCs w:val="0"/>
        </w:rPr>
        <w:t xml:space="preserve">The gate shall be completed by installation of approved filler as specified.  </w:t>
      </w:r>
    </w:p>
    <w:p w14:paraId="7A6D9B87" w14:textId="7E0838E3" w:rsidR="007B1D3F" w:rsidRDefault="007B1D3F" w:rsidP="007B1D3F">
      <w:pPr>
        <w:pStyle w:val="Level1"/>
        <w:numPr>
          <w:ilvl w:val="3"/>
          <w:numId w:val="12"/>
        </w:numPr>
        <w:spacing w:after="60"/>
        <w:rPr>
          <w:b w:val="0"/>
          <w:bCs/>
        </w:rPr>
      </w:pPr>
      <w:r w:rsidRPr="002B19EE">
        <w:rPr>
          <w:b w:val="0"/>
          <w:bCs/>
        </w:rPr>
        <w:t xml:space="preserve">Chain Link: 2” x 2” x </w:t>
      </w:r>
      <w:proofErr w:type="gramStart"/>
      <w:r w:rsidRPr="002B19EE">
        <w:rPr>
          <w:b w:val="0"/>
          <w:bCs/>
        </w:rPr>
        <w:t>9 gauge</w:t>
      </w:r>
      <w:proofErr w:type="gramEnd"/>
      <w:r w:rsidRPr="002B19EE">
        <w:rPr>
          <w:b w:val="0"/>
          <w:bCs/>
        </w:rPr>
        <w:t xml:space="preserve"> aluminized steel chain link fabric shall extend the entire length of the gate</w:t>
      </w:r>
      <w:r w:rsidR="000A645B">
        <w:rPr>
          <w:b w:val="0"/>
          <w:bCs/>
        </w:rPr>
        <w:t>.</w:t>
      </w:r>
      <w:r w:rsidRPr="002B19EE">
        <w:rPr>
          <w:b w:val="0"/>
          <w:bCs/>
        </w:rPr>
        <w:t xml:space="preserve">  Fabric shall be attached at each end of the gate frame by standard fence industry tension bars and tied at each 2” x 2” (51mm x 51mm) vertical member with standard fence industry ties. </w:t>
      </w:r>
    </w:p>
    <w:p w14:paraId="062E56D0" w14:textId="77777777" w:rsidR="000A645B" w:rsidRDefault="000A645B" w:rsidP="000A645B">
      <w:pPr>
        <w:pStyle w:val="Levels"/>
        <w:numPr>
          <w:ilvl w:val="3"/>
          <w:numId w:val="12"/>
        </w:numPr>
        <w:rPr>
          <w:b w:val="0"/>
          <w:bCs w:val="0"/>
          <w:highlight w:val="yellow"/>
        </w:rPr>
      </w:pPr>
      <w:r>
        <w:rPr>
          <w:b w:val="0"/>
          <w:bCs w:val="0"/>
          <w:highlight w:val="yellow"/>
        </w:rPr>
        <w:t>Optional gate fillers: Ornamental picket, welded wire mesh, or other may be added (weight increase over standard fabric to be authorized by manufacturer).</w:t>
      </w:r>
    </w:p>
    <w:p w14:paraId="59F48380" w14:textId="77777777" w:rsidR="001801CA" w:rsidRDefault="001801CA" w:rsidP="001801CA">
      <w:pPr>
        <w:pStyle w:val="Levels"/>
        <w:numPr>
          <w:ilvl w:val="2"/>
          <w:numId w:val="12"/>
        </w:numPr>
        <w:rPr>
          <w:b w:val="0"/>
          <w:bCs w:val="0"/>
        </w:rPr>
      </w:pPr>
      <w:r>
        <w:rPr>
          <w:b w:val="0"/>
          <w:bCs w:val="0"/>
        </w:rPr>
        <w:t>Finish:</w:t>
      </w:r>
    </w:p>
    <w:p w14:paraId="339CC683" w14:textId="77777777" w:rsidR="000A645B" w:rsidRPr="004C26C7" w:rsidRDefault="000A645B" w:rsidP="000A645B">
      <w:pPr>
        <w:pStyle w:val="Levels"/>
        <w:numPr>
          <w:ilvl w:val="3"/>
          <w:numId w:val="12"/>
        </w:numPr>
        <w:rPr>
          <w:b w:val="0"/>
        </w:rPr>
      </w:pPr>
      <w:r>
        <w:rPr>
          <w:b w:val="0"/>
          <w:bCs w:val="0"/>
        </w:rPr>
        <w:t>Gate panel and shall be mill finish aluminum or powder/color coated as specified.</w:t>
      </w:r>
    </w:p>
    <w:p w14:paraId="1C28410D" w14:textId="77777777" w:rsidR="00EE06FF" w:rsidRDefault="00EE06FF" w:rsidP="00EE06FF">
      <w:pPr>
        <w:pStyle w:val="Levels"/>
      </w:pPr>
      <w:r>
        <w:t>WARRANTY</w:t>
      </w:r>
      <w:r w:rsidRPr="00BB5B03">
        <w:t xml:space="preserve">: </w:t>
      </w:r>
    </w:p>
    <w:p w14:paraId="4F545E79" w14:textId="77777777" w:rsidR="00EE06FF" w:rsidRDefault="00EE06FF" w:rsidP="00EE06FF">
      <w:pPr>
        <w:pStyle w:val="Levels"/>
        <w:keepNext/>
        <w:numPr>
          <w:ilvl w:val="2"/>
          <w:numId w:val="12"/>
        </w:numPr>
        <w:jc w:val="both"/>
        <w:rPr>
          <w:b w:val="0"/>
          <w:bCs w:val="0"/>
        </w:rPr>
      </w:pPr>
      <w:r w:rsidRPr="00EE06FF">
        <w:rPr>
          <w:b w:val="0"/>
        </w:rPr>
        <w:t xml:space="preserve">The </w:t>
      </w:r>
      <w:r w:rsidR="002F58F0">
        <w:rPr>
          <w:b w:val="0"/>
        </w:rPr>
        <w:t xml:space="preserve">swing gate system shall </w:t>
      </w:r>
      <w:r w:rsidRPr="00EE06FF">
        <w:rPr>
          <w:b w:val="0"/>
        </w:rPr>
        <w:t>be warranted by the manufacturer against manufact</w:t>
      </w:r>
      <w:r w:rsidR="002F58F0">
        <w:rPr>
          <w:b w:val="0"/>
        </w:rPr>
        <w:t>uring defects for a period of (1) one year</w:t>
      </w:r>
      <w:r w:rsidRPr="00EE06FF">
        <w:rPr>
          <w:b w:val="0"/>
        </w:rPr>
        <w:t xml:space="preserve"> from date of sale.  </w:t>
      </w:r>
    </w:p>
    <w:p w14:paraId="72B91E1F" w14:textId="77777777" w:rsidR="00BD4006" w:rsidRDefault="00BD4006">
      <w:pPr>
        <w:pStyle w:val="Level1"/>
        <w:rPr>
          <w:caps/>
        </w:rPr>
      </w:pPr>
      <w:r>
        <w:rPr>
          <w:caps/>
        </w:rPr>
        <w:t>EXECUTION:</w:t>
      </w:r>
    </w:p>
    <w:p w14:paraId="42C5871E" w14:textId="77777777" w:rsidR="00BD4006" w:rsidRDefault="00BD4006">
      <w:pPr>
        <w:pStyle w:val="Levels"/>
        <w:jc w:val="both"/>
        <w:rPr>
          <w:caps/>
        </w:rPr>
      </w:pPr>
      <w:r>
        <w:rPr>
          <w:caps/>
        </w:rPr>
        <w:t>Site Inspection:</w:t>
      </w:r>
    </w:p>
    <w:p w14:paraId="2EDD6D7B" w14:textId="77777777" w:rsidR="00BD4006" w:rsidRDefault="00BD4006">
      <w:pPr>
        <w:pStyle w:val="Levels"/>
        <w:numPr>
          <w:ilvl w:val="2"/>
          <w:numId w:val="12"/>
        </w:numPr>
        <w:jc w:val="both"/>
        <w:rPr>
          <w:b w:val="0"/>
          <w:bCs w:val="0"/>
          <w:caps/>
        </w:rPr>
      </w:pPr>
      <w:r>
        <w:rPr>
          <w:b w:val="0"/>
          <w:bCs w:val="0"/>
        </w:rPr>
        <w:t>Examine final grades and installation conditions.</w:t>
      </w:r>
    </w:p>
    <w:p w14:paraId="7FBDCA84" w14:textId="77777777" w:rsidR="00BD4006" w:rsidRDefault="00BD4006">
      <w:pPr>
        <w:pStyle w:val="Levels"/>
        <w:numPr>
          <w:ilvl w:val="2"/>
          <w:numId w:val="12"/>
        </w:numPr>
        <w:jc w:val="both"/>
        <w:rPr>
          <w:b w:val="0"/>
          <w:bCs w:val="0"/>
          <w:caps/>
        </w:rPr>
      </w:pPr>
      <w:r>
        <w:rPr>
          <w:b w:val="0"/>
          <w:bCs w:val="0"/>
        </w:rPr>
        <w:t>Do not begin work until all unsatisfactory conditions are corrected.</w:t>
      </w:r>
    </w:p>
    <w:p w14:paraId="2F0F2B0E" w14:textId="77777777" w:rsidR="00BD4006" w:rsidRDefault="00BD4006">
      <w:pPr>
        <w:pStyle w:val="Levels"/>
        <w:jc w:val="both"/>
        <w:rPr>
          <w:caps/>
        </w:rPr>
      </w:pPr>
      <w:r>
        <w:rPr>
          <w:caps/>
        </w:rPr>
        <w:t>Installation:</w:t>
      </w:r>
    </w:p>
    <w:p w14:paraId="73F390B9" w14:textId="77777777" w:rsidR="00BD4006" w:rsidRDefault="00BD4006">
      <w:pPr>
        <w:pStyle w:val="Levels"/>
        <w:numPr>
          <w:ilvl w:val="2"/>
          <w:numId w:val="12"/>
        </w:numPr>
        <w:jc w:val="both"/>
        <w:rPr>
          <w:b w:val="0"/>
          <w:bCs w:val="0"/>
          <w:caps/>
        </w:rPr>
      </w:pPr>
      <w:r>
        <w:rPr>
          <w:b w:val="0"/>
          <w:bCs w:val="0"/>
        </w:rPr>
        <w:t>Install equipment of this section in strict accordance with the company’s printed instructions unless otherwise shown on the contract drawings.</w:t>
      </w:r>
    </w:p>
    <w:p w14:paraId="620404D6" w14:textId="77777777" w:rsidR="00BD4006" w:rsidRDefault="00BD4006">
      <w:pPr>
        <w:pStyle w:val="Levels"/>
        <w:numPr>
          <w:ilvl w:val="2"/>
          <w:numId w:val="12"/>
        </w:numPr>
        <w:jc w:val="both"/>
        <w:rPr>
          <w:b w:val="0"/>
          <w:bCs w:val="0"/>
          <w:caps/>
        </w:rPr>
      </w:pPr>
      <w:r>
        <w:rPr>
          <w:b w:val="0"/>
          <w:bCs w:val="0"/>
        </w:rPr>
        <w:t xml:space="preserve">The gate system </w:t>
      </w:r>
      <w:r w:rsidR="00AF61D2">
        <w:rPr>
          <w:b w:val="0"/>
          <w:bCs w:val="0"/>
        </w:rPr>
        <w:t>is to comply with ASTM F</w:t>
      </w:r>
      <w:r w:rsidR="002434A0">
        <w:rPr>
          <w:b w:val="0"/>
          <w:bCs w:val="0"/>
        </w:rPr>
        <w:t xml:space="preserve"> </w:t>
      </w:r>
      <w:r w:rsidR="00AF61D2">
        <w:rPr>
          <w:b w:val="0"/>
          <w:bCs w:val="0"/>
        </w:rPr>
        <w:t>2200</w:t>
      </w:r>
      <w:r w:rsidR="002F58F0">
        <w:rPr>
          <w:b w:val="0"/>
          <w:bCs w:val="0"/>
        </w:rPr>
        <w:t>.</w:t>
      </w:r>
      <w:r>
        <w:rPr>
          <w:b w:val="0"/>
          <w:bCs w:val="0"/>
        </w:rPr>
        <w:t xml:space="preserve"> </w:t>
      </w:r>
    </w:p>
    <w:p w14:paraId="4F3A7ADB" w14:textId="77777777" w:rsidR="00BD4006" w:rsidRDefault="00BD4006">
      <w:pPr>
        <w:pStyle w:val="Levels"/>
        <w:jc w:val="both"/>
        <w:rPr>
          <w:caps/>
        </w:rPr>
      </w:pPr>
      <w:r>
        <w:rPr>
          <w:caps/>
        </w:rPr>
        <w:t>System Acceptance &amp; validation:</w:t>
      </w:r>
    </w:p>
    <w:p w14:paraId="1187F9BB" w14:textId="77777777" w:rsidR="00BD4006" w:rsidRDefault="00BD4006">
      <w:pPr>
        <w:pStyle w:val="Levels"/>
        <w:numPr>
          <w:ilvl w:val="2"/>
          <w:numId w:val="12"/>
        </w:numPr>
        <w:jc w:val="both"/>
        <w:rPr>
          <w:b w:val="0"/>
        </w:rPr>
      </w:pPr>
      <w:r>
        <w:rPr>
          <w:b w:val="0"/>
        </w:rPr>
        <w:t>Acceptance Test:</w:t>
      </w:r>
    </w:p>
    <w:p w14:paraId="28842A11" w14:textId="77777777" w:rsidR="00BD4006" w:rsidRDefault="00BD4006">
      <w:pPr>
        <w:pStyle w:val="Levels"/>
        <w:numPr>
          <w:ilvl w:val="3"/>
          <w:numId w:val="12"/>
        </w:numPr>
        <w:jc w:val="both"/>
        <w:rPr>
          <w:b w:val="0"/>
          <w:bCs w:val="0"/>
        </w:rPr>
      </w:pPr>
      <w:r>
        <w:rPr>
          <w:b w:val="0"/>
          <w:bCs w:val="0"/>
        </w:rPr>
        <w:t>Test each system function.</w:t>
      </w:r>
    </w:p>
    <w:p w14:paraId="714E8B51" w14:textId="77777777" w:rsidR="00BD4006" w:rsidRDefault="00BD4006">
      <w:pPr>
        <w:pStyle w:val="Levels"/>
        <w:numPr>
          <w:ilvl w:val="3"/>
          <w:numId w:val="12"/>
        </w:numPr>
        <w:jc w:val="both"/>
        <w:rPr>
          <w:b w:val="0"/>
          <w:bCs w:val="0"/>
        </w:rPr>
      </w:pPr>
      <w:r>
        <w:rPr>
          <w:b w:val="0"/>
          <w:bCs w:val="0"/>
        </w:rPr>
        <w:t>Supply all equipment necessary for system adjustment and testing.</w:t>
      </w:r>
    </w:p>
    <w:p w14:paraId="6D4384A8" w14:textId="77777777" w:rsidR="00BD4006" w:rsidRDefault="00BD4006">
      <w:pPr>
        <w:pStyle w:val="Levels"/>
        <w:numPr>
          <w:ilvl w:val="2"/>
          <w:numId w:val="12"/>
        </w:numPr>
        <w:jc w:val="both"/>
        <w:rPr>
          <w:b w:val="0"/>
        </w:rPr>
      </w:pPr>
      <w:r>
        <w:rPr>
          <w:b w:val="0"/>
        </w:rPr>
        <w:t>System Validation:</w:t>
      </w:r>
    </w:p>
    <w:p w14:paraId="5244FFF7" w14:textId="77777777" w:rsidR="00BD4006" w:rsidRDefault="00BD4006">
      <w:pPr>
        <w:pStyle w:val="Levels"/>
        <w:numPr>
          <w:ilvl w:val="3"/>
          <w:numId w:val="12"/>
        </w:numPr>
        <w:jc w:val="both"/>
        <w:rPr>
          <w:b w:val="0"/>
          <w:bCs w:val="0"/>
        </w:rPr>
      </w:pPr>
      <w:r>
        <w:rPr>
          <w:b w:val="0"/>
          <w:bCs w:val="0"/>
        </w:rPr>
        <w:t>The complete system shall be adjusted to assure it is performing properly.</w:t>
      </w:r>
    </w:p>
    <w:p w14:paraId="3C1C85F7" w14:textId="77777777" w:rsidR="00BD4006" w:rsidRDefault="00BD4006">
      <w:pPr>
        <w:pStyle w:val="Levels"/>
        <w:numPr>
          <w:ilvl w:val="3"/>
          <w:numId w:val="12"/>
        </w:numPr>
        <w:jc w:val="both"/>
        <w:rPr>
          <w:b w:val="0"/>
          <w:bCs w:val="0"/>
        </w:rPr>
      </w:pPr>
      <w:r>
        <w:rPr>
          <w:b w:val="0"/>
          <w:bCs w:val="0"/>
        </w:rPr>
        <w:t>The system shall be operated for a sufficient period of time to determine that the system is in proper working order.</w:t>
      </w:r>
    </w:p>
    <w:p w14:paraId="2D4C2967" w14:textId="77777777" w:rsidR="00BD4006" w:rsidRDefault="00BD4006">
      <w:pPr>
        <w:pStyle w:val="Levels"/>
        <w:numPr>
          <w:ilvl w:val="3"/>
          <w:numId w:val="12"/>
        </w:numPr>
        <w:jc w:val="both"/>
        <w:rPr>
          <w:b w:val="0"/>
          <w:bCs w:val="0"/>
        </w:rPr>
      </w:pPr>
      <w:r>
        <w:rPr>
          <w:b w:val="0"/>
          <w:bCs w:val="0"/>
        </w:rPr>
        <w:lastRenderedPageBreak/>
        <w:t>Ensure the owner is clear with regard to the basic operational gu</w:t>
      </w:r>
      <w:r w:rsidR="00160788">
        <w:rPr>
          <w:b w:val="0"/>
          <w:bCs w:val="0"/>
        </w:rPr>
        <w:t xml:space="preserve">idelines of the </w:t>
      </w:r>
      <w:r>
        <w:rPr>
          <w:b w:val="0"/>
          <w:bCs w:val="0"/>
        </w:rPr>
        <w:t xml:space="preserve">of the gate system.  </w:t>
      </w:r>
    </w:p>
    <w:p w14:paraId="5DDD11A2" w14:textId="77777777" w:rsidR="00BD4006" w:rsidRDefault="00BD4006">
      <w:pPr>
        <w:pStyle w:val="Levels"/>
        <w:numPr>
          <w:ilvl w:val="0"/>
          <w:numId w:val="0"/>
        </w:numPr>
        <w:ind w:left="720" w:hanging="720"/>
        <w:jc w:val="both"/>
        <w:rPr>
          <w:b w:val="0"/>
          <w:bCs w:val="0"/>
        </w:rPr>
      </w:pPr>
    </w:p>
    <w:p w14:paraId="04FA5D0E" w14:textId="77777777" w:rsidR="00BD4006" w:rsidRDefault="00BD4006">
      <w:pPr>
        <w:suppressAutoHyphens/>
        <w:spacing w:before="360"/>
        <w:jc w:val="both"/>
        <w:rPr>
          <w:rFonts w:cs="Arial"/>
          <w:b/>
          <w:spacing w:val="-2"/>
        </w:rPr>
      </w:pPr>
      <w:r>
        <w:rPr>
          <w:rFonts w:cs="Arial"/>
          <w:b/>
          <w:spacing w:val="-2"/>
          <w:sz w:val="24"/>
        </w:rPr>
        <w:t>Note: Tymetal Corp. reserves the right to modify and/or make changes as deemed necessary without previous notice.</w:t>
      </w:r>
    </w:p>
    <w:p w14:paraId="13D09677" w14:textId="77777777" w:rsidR="00BD4006" w:rsidRDefault="00BD4006">
      <w:pPr>
        <w:pStyle w:val="Levels"/>
        <w:numPr>
          <w:ilvl w:val="0"/>
          <w:numId w:val="0"/>
        </w:numPr>
        <w:ind w:left="720" w:hanging="720"/>
        <w:jc w:val="both"/>
        <w:rPr>
          <w:b w:val="0"/>
          <w:bCs w:val="0"/>
        </w:rPr>
      </w:pPr>
    </w:p>
    <w:sectPr w:rsidR="00BD4006">
      <w:footerReference w:type="default" r:id="rId8"/>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791DB" w14:textId="77777777" w:rsidR="009D6DB2" w:rsidRDefault="009D6DB2">
      <w:pPr>
        <w:spacing w:line="20" w:lineRule="exact"/>
        <w:rPr>
          <w:sz w:val="24"/>
        </w:rPr>
      </w:pPr>
    </w:p>
  </w:endnote>
  <w:endnote w:type="continuationSeparator" w:id="0">
    <w:p w14:paraId="0394AD4D" w14:textId="77777777" w:rsidR="009D6DB2" w:rsidRDefault="009D6DB2">
      <w:r>
        <w:rPr>
          <w:sz w:val="24"/>
        </w:rPr>
        <w:t xml:space="preserve"> </w:t>
      </w:r>
    </w:p>
  </w:endnote>
  <w:endnote w:type="continuationNotice" w:id="1">
    <w:p w14:paraId="3288EA49" w14:textId="77777777" w:rsidR="009D6DB2" w:rsidRDefault="009D6D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D701C" w14:textId="3CA8D673" w:rsidR="00E34AFA" w:rsidRDefault="00E34AFA">
    <w:pPr>
      <w:pStyle w:val="Footer"/>
      <w:tabs>
        <w:tab w:val="clear" w:pos="4320"/>
        <w:tab w:val="clear" w:pos="8640"/>
        <w:tab w:val="center" w:pos="5040"/>
        <w:tab w:val="right" w:pos="9360"/>
      </w:tabs>
      <w:ind w:left="-360"/>
    </w:pPr>
    <w:r>
      <w:t xml:space="preserve">       K-4 </w:t>
    </w:r>
    <w:proofErr w:type="spellStart"/>
    <w:r w:rsidR="00160788">
      <w:t>Engineered_Heavy</w:t>
    </w:r>
    <w:proofErr w:type="spellEnd"/>
    <w:r w:rsidR="00160788">
      <w:t xml:space="preserve"> Duty Swing Gate</w:t>
    </w:r>
    <w:r w:rsidR="007B1D3F">
      <w:t>_</w:t>
    </w:r>
    <w:r w:rsidR="00160788">
      <w:t>R</w:t>
    </w:r>
    <w:r w:rsidR="000A645B">
      <w:t>1</w:t>
    </w:r>
    <w:r>
      <w:t xml:space="preserve">        </w:t>
    </w:r>
    <w:r w:rsidR="00160788">
      <w:t xml:space="preserve">   </w:t>
    </w:r>
    <w:r>
      <w:t xml:space="preserve">Page </w:t>
    </w:r>
    <w:r>
      <w:rPr>
        <w:rStyle w:val="PageNumber"/>
      </w:rPr>
      <w:fldChar w:fldCharType="begin"/>
    </w:r>
    <w:r>
      <w:rPr>
        <w:rStyle w:val="PageNumber"/>
      </w:rPr>
      <w:instrText xml:space="preserve"> PAGE </w:instrText>
    </w:r>
    <w:r>
      <w:rPr>
        <w:rStyle w:val="PageNumber"/>
      </w:rPr>
      <w:fldChar w:fldCharType="separate"/>
    </w:r>
    <w:r w:rsidR="002026C9">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2026C9">
      <w:rPr>
        <w:rStyle w:val="PageNumber"/>
        <w:noProof/>
      </w:rPr>
      <w:t>4</w:t>
    </w:r>
    <w:r>
      <w:rPr>
        <w:rStyle w:val="PageNumber"/>
      </w:rPr>
      <w:fldChar w:fldCharType="end"/>
    </w:r>
    <w:r w:rsidR="00160788">
      <w:t xml:space="preserve">                                                                            </w:t>
    </w:r>
    <w:proofErr w:type="gramStart"/>
    <w:r w:rsidR="000A645B">
      <w:t>3/28/24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571B1" w14:textId="77777777" w:rsidR="009D6DB2" w:rsidRDefault="009D6DB2">
      <w:r>
        <w:rPr>
          <w:sz w:val="24"/>
        </w:rPr>
        <w:separator/>
      </w:r>
    </w:p>
  </w:footnote>
  <w:footnote w:type="continuationSeparator" w:id="0">
    <w:p w14:paraId="4D7FA52A" w14:textId="77777777" w:rsidR="009D6DB2" w:rsidRDefault="009D6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1"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1509252440">
    <w:abstractNumId w:val="10"/>
  </w:num>
  <w:num w:numId="2" w16cid:durableId="2027319412">
    <w:abstractNumId w:val="8"/>
  </w:num>
  <w:num w:numId="3" w16cid:durableId="1069154785">
    <w:abstractNumId w:val="7"/>
  </w:num>
  <w:num w:numId="4" w16cid:durableId="2014650542">
    <w:abstractNumId w:val="3"/>
  </w:num>
  <w:num w:numId="5" w16cid:durableId="3243021">
    <w:abstractNumId w:val="2"/>
  </w:num>
  <w:num w:numId="6" w16cid:durableId="1919244131">
    <w:abstractNumId w:val="6"/>
  </w:num>
  <w:num w:numId="7" w16cid:durableId="2011713185">
    <w:abstractNumId w:val="5"/>
  </w:num>
  <w:num w:numId="8" w16cid:durableId="1780567089">
    <w:abstractNumId w:val="4"/>
  </w:num>
  <w:num w:numId="9" w16cid:durableId="1465151644">
    <w:abstractNumId w:val="1"/>
  </w:num>
  <w:num w:numId="10" w16cid:durableId="1504933633">
    <w:abstractNumId w:val="0"/>
  </w:num>
  <w:num w:numId="11" w16cid:durableId="778372829">
    <w:abstractNumId w:val="12"/>
  </w:num>
  <w:num w:numId="12" w16cid:durableId="1531994192">
    <w:abstractNumId w:val="11"/>
  </w:num>
  <w:num w:numId="13" w16cid:durableId="1575165627">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06"/>
    <w:rsid w:val="00003381"/>
    <w:rsid w:val="0000467C"/>
    <w:rsid w:val="00033EB8"/>
    <w:rsid w:val="00043A73"/>
    <w:rsid w:val="0006001C"/>
    <w:rsid w:val="00072FB7"/>
    <w:rsid w:val="00082E29"/>
    <w:rsid w:val="000846ED"/>
    <w:rsid w:val="000A2F6D"/>
    <w:rsid w:val="000A645B"/>
    <w:rsid w:val="000B4C25"/>
    <w:rsid w:val="000D6A54"/>
    <w:rsid w:val="000E2E4B"/>
    <w:rsid w:val="000F36BA"/>
    <w:rsid w:val="001153B7"/>
    <w:rsid w:val="00123605"/>
    <w:rsid w:val="00124FE4"/>
    <w:rsid w:val="00151E3C"/>
    <w:rsid w:val="00160788"/>
    <w:rsid w:val="00163994"/>
    <w:rsid w:val="001801CA"/>
    <w:rsid w:val="001A0905"/>
    <w:rsid w:val="001A5B31"/>
    <w:rsid w:val="001D00AF"/>
    <w:rsid w:val="001F0BB7"/>
    <w:rsid w:val="001F397C"/>
    <w:rsid w:val="002026C9"/>
    <w:rsid w:val="00211316"/>
    <w:rsid w:val="00215945"/>
    <w:rsid w:val="00216990"/>
    <w:rsid w:val="002434A0"/>
    <w:rsid w:val="00246CAB"/>
    <w:rsid w:val="00263D9F"/>
    <w:rsid w:val="002F379F"/>
    <w:rsid w:val="002F58F0"/>
    <w:rsid w:val="00314D6A"/>
    <w:rsid w:val="003229C3"/>
    <w:rsid w:val="003318E5"/>
    <w:rsid w:val="003868CF"/>
    <w:rsid w:val="003A4711"/>
    <w:rsid w:val="00403A40"/>
    <w:rsid w:val="0040637F"/>
    <w:rsid w:val="004160AC"/>
    <w:rsid w:val="00430782"/>
    <w:rsid w:val="00440D62"/>
    <w:rsid w:val="004416CB"/>
    <w:rsid w:val="004527B1"/>
    <w:rsid w:val="00463C2D"/>
    <w:rsid w:val="00471AE1"/>
    <w:rsid w:val="0048110F"/>
    <w:rsid w:val="00491866"/>
    <w:rsid w:val="004A19DA"/>
    <w:rsid w:val="004C19FA"/>
    <w:rsid w:val="004E16A7"/>
    <w:rsid w:val="00511D77"/>
    <w:rsid w:val="00512A55"/>
    <w:rsid w:val="0052543E"/>
    <w:rsid w:val="00525A7A"/>
    <w:rsid w:val="00545A03"/>
    <w:rsid w:val="0055186B"/>
    <w:rsid w:val="005A24D3"/>
    <w:rsid w:val="005A3E02"/>
    <w:rsid w:val="005D57C2"/>
    <w:rsid w:val="005E4C80"/>
    <w:rsid w:val="005E4D80"/>
    <w:rsid w:val="006045A2"/>
    <w:rsid w:val="00626FF6"/>
    <w:rsid w:val="006652A6"/>
    <w:rsid w:val="00665481"/>
    <w:rsid w:val="006B4286"/>
    <w:rsid w:val="006B6288"/>
    <w:rsid w:val="006D1663"/>
    <w:rsid w:val="006E7303"/>
    <w:rsid w:val="007014EE"/>
    <w:rsid w:val="00712203"/>
    <w:rsid w:val="007164EF"/>
    <w:rsid w:val="007321E5"/>
    <w:rsid w:val="00757468"/>
    <w:rsid w:val="007B1D3F"/>
    <w:rsid w:val="007E1F33"/>
    <w:rsid w:val="00833DD7"/>
    <w:rsid w:val="00834E26"/>
    <w:rsid w:val="00837B50"/>
    <w:rsid w:val="0088759E"/>
    <w:rsid w:val="00891621"/>
    <w:rsid w:val="008B4B7A"/>
    <w:rsid w:val="00940817"/>
    <w:rsid w:val="00954B68"/>
    <w:rsid w:val="009600D6"/>
    <w:rsid w:val="00966CDC"/>
    <w:rsid w:val="00970FC3"/>
    <w:rsid w:val="0099508A"/>
    <w:rsid w:val="009D6DB2"/>
    <w:rsid w:val="009E592B"/>
    <w:rsid w:val="00A115F9"/>
    <w:rsid w:val="00A22096"/>
    <w:rsid w:val="00A61148"/>
    <w:rsid w:val="00A7412D"/>
    <w:rsid w:val="00A83EA1"/>
    <w:rsid w:val="00AD1F37"/>
    <w:rsid w:val="00AF61D2"/>
    <w:rsid w:val="00B01FDD"/>
    <w:rsid w:val="00B5276E"/>
    <w:rsid w:val="00B63011"/>
    <w:rsid w:val="00B92DB8"/>
    <w:rsid w:val="00BD2CFB"/>
    <w:rsid w:val="00BD4006"/>
    <w:rsid w:val="00BE3716"/>
    <w:rsid w:val="00BE7367"/>
    <w:rsid w:val="00BF4BDA"/>
    <w:rsid w:val="00C06BDE"/>
    <w:rsid w:val="00C07276"/>
    <w:rsid w:val="00C555F3"/>
    <w:rsid w:val="00CA742D"/>
    <w:rsid w:val="00CD59B5"/>
    <w:rsid w:val="00CF1A1E"/>
    <w:rsid w:val="00D01CD5"/>
    <w:rsid w:val="00D03A98"/>
    <w:rsid w:val="00D11608"/>
    <w:rsid w:val="00D23072"/>
    <w:rsid w:val="00D2391A"/>
    <w:rsid w:val="00D24798"/>
    <w:rsid w:val="00D27592"/>
    <w:rsid w:val="00D41A16"/>
    <w:rsid w:val="00D505FD"/>
    <w:rsid w:val="00D51CEB"/>
    <w:rsid w:val="00D5367F"/>
    <w:rsid w:val="00D731B7"/>
    <w:rsid w:val="00DB194A"/>
    <w:rsid w:val="00DD589D"/>
    <w:rsid w:val="00DE1C1A"/>
    <w:rsid w:val="00DF794E"/>
    <w:rsid w:val="00E23739"/>
    <w:rsid w:val="00E24E52"/>
    <w:rsid w:val="00E34AFA"/>
    <w:rsid w:val="00E627E9"/>
    <w:rsid w:val="00E6773B"/>
    <w:rsid w:val="00E8028E"/>
    <w:rsid w:val="00E95F97"/>
    <w:rsid w:val="00EA2C3E"/>
    <w:rsid w:val="00EC2AB8"/>
    <w:rsid w:val="00ED2E85"/>
    <w:rsid w:val="00EE06FF"/>
    <w:rsid w:val="00F51CEE"/>
    <w:rsid w:val="00FA237B"/>
    <w:rsid w:val="00FA4F77"/>
    <w:rsid w:val="00FA7C00"/>
    <w:rsid w:val="00FB2CFA"/>
    <w:rsid w:val="00FD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2578E9"/>
  <w15:chartTrackingRefBased/>
  <w15:docId w15:val="{F60C5711-7FF9-4653-8532-9234E40B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13"/>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styleId="BalloonText">
    <w:name w:val="Balloon Text"/>
    <w:basedOn w:val="Normal"/>
    <w:link w:val="BalloonTextChar"/>
    <w:rsid w:val="006E7303"/>
    <w:rPr>
      <w:rFonts w:ascii="Segoe UI" w:hAnsi="Segoe UI" w:cs="Segoe UI"/>
      <w:sz w:val="18"/>
      <w:szCs w:val="18"/>
    </w:rPr>
  </w:style>
  <w:style w:type="character" w:customStyle="1" w:styleId="BalloonTextChar">
    <w:name w:val="Balloon Text Char"/>
    <w:link w:val="BalloonText"/>
    <w:rsid w:val="006E730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9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1107</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3</cp:revision>
  <cp:lastPrinted>2016-04-13T17:24:00Z</cp:lastPrinted>
  <dcterms:created xsi:type="dcterms:W3CDTF">2024-03-28T18:42:00Z</dcterms:created>
  <dcterms:modified xsi:type="dcterms:W3CDTF">2024-03-28T18:49:00Z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